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7B941" w14:textId="650B5042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8D7550">
        <w:rPr>
          <w:rFonts w:ascii="Calibri" w:hAnsi="Calibri" w:cs="Calibri"/>
          <w:b/>
          <w:bCs/>
        </w:rPr>
        <w:t>1. Análise da Impugnação (ACNOR)</w:t>
      </w:r>
    </w:p>
    <w:p w14:paraId="33AEC111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2A6CCC8C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A impugnação apresentada pela </w:t>
      </w:r>
      <w:r w:rsidRPr="008D7550">
        <w:rPr>
          <w:rFonts w:ascii="Calibri" w:hAnsi="Calibri" w:cs="Calibri"/>
          <w:b/>
          <w:bCs/>
        </w:rPr>
        <w:t>Associação das Construtoras de Obras Públicas do Noroeste do Paraná (ACNOR)</w:t>
      </w:r>
      <w:r w:rsidRPr="008D7550">
        <w:rPr>
          <w:rFonts w:ascii="Calibri" w:hAnsi="Calibri" w:cs="Calibri"/>
        </w:rPr>
        <w:t xml:space="preserve"> ataca o Edital de Concorrência Eletrônica nº 05/2025.</w:t>
      </w:r>
    </w:p>
    <w:p w14:paraId="511A3E6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66ABB12" w14:textId="2AEFEB15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Abaixo, pontuam-se os argumentos, incongruências e possíveis equívocos da impugnante:</w:t>
      </w:r>
    </w:p>
    <w:p w14:paraId="711647E3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7976DD2" w14:textId="77777777" w:rsidR="008D7550" w:rsidRDefault="008D7550" w:rsidP="008D7550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Tempestividade e Legitimidade:</w:t>
      </w:r>
      <w:r w:rsidRPr="008D7550">
        <w:rPr>
          <w:rFonts w:ascii="Calibri" w:hAnsi="Calibri" w:cs="Calibri"/>
        </w:rPr>
        <w:t xml:space="preserve"> A impugnação foi protocolada em 27/11/2025 (conforme assinatura digital), visando o certame de 17/12/2025. Cumpre o prazo de 3 dias úteis previsto no art. 164 da Lei 14.133/2021. A ACNOR possui legitimidade representativa.</w:t>
      </w:r>
    </w:p>
    <w:p w14:paraId="28F884AF" w14:textId="77777777" w:rsidR="008D7550" w:rsidRPr="008D7550" w:rsidRDefault="008D7550" w:rsidP="008D7550">
      <w:pPr>
        <w:spacing w:after="0" w:line="276" w:lineRule="auto"/>
        <w:ind w:left="720"/>
        <w:jc w:val="both"/>
        <w:rPr>
          <w:rFonts w:ascii="Calibri" w:hAnsi="Calibri" w:cs="Calibri"/>
        </w:rPr>
      </w:pPr>
    </w:p>
    <w:p w14:paraId="575CC151" w14:textId="77777777" w:rsidR="008D7550" w:rsidRPr="008D7550" w:rsidRDefault="008D7550" w:rsidP="008D7550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Item A - Custos de Mobilização/Desmobilização e Administração Local:</w:t>
      </w:r>
    </w:p>
    <w:p w14:paraId="1C712AD4" w14:textId="77777777" w:rsidR="008D7550" w:rsidRP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Argumento:</w:t>
      </w:r>
      <w:r w:rsidRPr="008D7550">
        <w:rPr>
          <w:rFonts w:ascii="Calibri" w:hAnsi="Calibri" w:cs="Calibri"/>
        </w:rPr>
        <w:t xml:space="preserve"> A ACNOR alega que a ausência de itens específicos para Mobilização/Desmobilização e Administração Local viola a jurisprudência do TCU (Acórdão 2622/2013) e prejudica a transparência. Alega ainda que o percentual de administração local estaria abaixo da média (1,34% </w:t>
      </w:r>
      <w:proofErr w:type="spellStart"/>
      <w:r w:rsidRPr="008D7550">
        <w:rPr>
          <w:rFonts w:ascii="Calibri" w:hAnsi="Calibri" w:cs="Calibri"/>
        </w:rPr>
        <w:t>vs</w:t>
      </w:r>
      <w:proofErr w:type="spellEnd"/>
      <w:r w:rsidRPr="008D7550">
        <w:rPr>
          <w:rFonts w:ascii="Calibri" w:hAnsi="Calibri" w:cs="Calibri"/>
        </w:rPr>
        <w:t xml:space="preserve"> 6,99%).</w:t>
      </w:r>
    </w:p>
    <w:p w14:paraId="3C84B7CB" w14:textId="77777777" w:rsid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Análise:</w:t>
      </w:r>
      <w:r w:rsidRPr="008D7550">
        <w:rPr>
          <w:rFonts w:ascii="Calibri" w:hAnsi="Calibri" w:cs="Calibri"/>
        </w:rPr>
        <w:t xml:space="preserve"> O argumento sobre a segregação da </w:t>
      </w:r>
      <w:r w:rsidRPr="008D7550">
        <w:rPr>
          <w:rFonts w:ascii="Calibri" w:hAnsi="Calibri" w:cs="Calibri"/>
          <w:b/>
          <w:bCs/>
        </w:rPr>
        <w:t>mobilização</w:t>
      </w:r>
      <w:r w:rsidRPr="008D7550">
        <w:rPr>
          <w:rFonts w:ascii="Calibri" w:hAnsi="Calibri" w:cs="Calibri"/>
        </w:rPr>
        <w:t xml:space="preserve"> é tecnicamente sólido e alinhado à Súmula 263 do TCU, que veda o pagamento por verba única indiscriminada, preferindo a medição por eventos. Contudo, quanto à </w:t>
      </w:r>
      <w:r w:rsidRPr="008D7550">
        <w:rPr>
          <w:rFonts w:ascii="Calibri" w:hAnsi="Calibri" w:cs="Calibri"/>
          <w:b/>
          <w:bCs/>
        </w:rPr>
        <w:t>Administração Local</w:t>
      </w:r>
      <w:r w:rsidRPr="008D7550">
        <w:rPr>
          <w:rFonts w:ascii="Calibri" w:hAnsi="Calibri" w:cs="Calibri"/>
        </w:rPr>
        <w:t>, a impugnante parece aplicar uma lógica de obras urbanas complexas a uma obra rural, desconsiderando particularidades de convênios estaduais (SEAB) que muitas vezes alocam esse custo no BDI (Administração Central) para obras de menor complexidade logística.</w:t>
      </w:r>
    </w:p>
    <w:p w14:paraId="678226F4" w14:textId="77777777" w:rsidR="008D7550" w:rsidRPr="008D7550" w:rsidRDefault="008D7550" w:rsidP="008D7550">
      <w:pPr>
        <w:spacing w:after="0" w:line="276" w:lineRule="auto"/>
        <w:ind w:left="1440"/>
        <w:jc w:val="both"/>
        <w:rPr>
          <w:rFonts w:ascii="Calibri" w:hAnsi="Calibri" w:cs="Calibri"/>
        </w:rPr>
      </w:pPr>
    </w:p>
    <w:p w14:paraId="4A8BCA1A" w14:textId="77777777" w:rsidR="008D7550" w:rsidRPr="008D7550" w:rsidRDefault="008D7550" w:rsidP="008D7550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Item B - Jazida e Licenciamento Ambiental:</w:t>
      </w:r>
    </w:p>
    <w:p w14:paraId="6FD51BBD" w14:textId="77777777" w:rsidR="008D7550" w:rsidRP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Argumento:</w:t>
      </w:r>
      <w:r w:rsidRPr="008D7550">
        <w:rPr>
          <w:rFonts w:ascii="Calibri" w:hAnsi="Calibri" w:cs="Calibri"/>
        </w:rPr>
        <w:t xml:space="preserve"> Aponta falta de indicação de local, volume e licenciamento da jazida de empréstimo de solo, bem como ausência de ensaios (ISC). Questiona sobre royalties.</w:t>
      </w:r>
    </w:p>
    <w:p w14:paraId="5D9608C3" w14:textId="77777777" w:rsidR="008D7550" w:rsidRP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Argumento "Bota-Fora" (Erro Fático):</w:t>
      </w:r>
      <w:r w:rsidRPr="008D7550">
        <w:rPr>
          <w:rFonts w:ascii="Calibri" w:hAnsi="Calibri" w:cs="Calibri"/>
        </w:rPr>
        <w:t xml:space="preserve"> A ACNOR cita textualmente um "Item 7.5.3.4.3 (a)" do edital referente a resíduos e menciona o termo "bota-fora".</w:t>
      </w:r>
    </w:p>
    <w:p w14:paraId="5FDAF848" w14:textId="77777777" w:rsid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Vício da Impugnação:</w:t>
      </w:r>
      <w:r w:rsidRPr="008D7550">
        <w:rPr>
          <w:rFonts w:ascii="Calibri" w:hAnsi="Calibri" w:cs="Calibri"/>
        </w:rPr>
        <w:t xml:space="preserve"> A análise do Edital revela que o </w:t>
      </w:r>
      <w:r w:rsidRPr="008D7550">
        <w:rPr>
          <w:rFonts w:ascii="Calibri" w:hAnsi="Calibri" w:cs="Calibri"/>
          <w:b/>
          <w:bCs/>
        </w:rPr>
        <w:t>item 7.5.3.4.3 não existe</w:t>
      </w:r>
      <w:r w:rsidRPr="008D7550">
        <w:rPr>
          <w:rFonts w:ascii="Calibri" w:hAnsi="Calibri" w:cs="Calibri"/>
        </w:rPr>
        <w:t xml:space="preserve"> na numeração apresentada (o edital salta do item 7.5 para o 7.6 ou trata de extinção contratual nessa seção). Isso sugere que a ACNOR utilizou um modelo de impugnação genérico ou copiou trechos de outro edital ("copiar e colar"), o que enfraquece a credibilidade técnica deste ponto específico.</w:t>
      </w:r>
    </w:p>
    <w:p w14:paraId="0B1A49AC" w14:textId="77777777" w:rsidR="008D7550" w:rsidRPr="008D7550" w:rsidRDefault="008D7550" w:rsidP="008D7550">
      <w:pPr>
        <w:spacing w:after="0" w:line="276" w:lineRule="auto"/>
        <w:ind w:left="1440"/>
        <w:jc w:val="both"/>
        <w:rPr>
          <w:rFonts w:ascii="Calibri" w:hAnsi="Calibri" w:cs="Calibri"/>
        </w:rPr>
      </w:pPr>
    </w:p>
    <w:p w14:paraId="6E73BB05" w14:textId="77777777" w:rsidR="008D7550" w:rsidRPr="008D7550" w:rsidRDefault="008D7550" w:rsidP="008D7550">
      <w:pPr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Item C - Calçadas e Canteiros (Erro Fático Grave):</w:t>
      </w:r>
    </w:p>
    <w:p w14:paraId="68DA98FD" w14:textId="77777777" w:rsidR="008D7550" w:rsidRP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Argumento:</w:t>
      </w:r>
      <w:r w:rsidRPr="008D7550">
        <w:rPr>
          <w:rFonts w:ascii="Calibri" w:hAnsi="Calibri" w:cs="Calibri"/>
        </w:rPr>
        <w:t xml:space="preserve"> A ACNOR reclama que o projeto não contempla aterros para calçadas e canteiros centrais de avenidas, citando "especificações do item urbanização" no memorial.</w:t>
      </w:r>
    </w:p>
    <w:p w14:paraId="252C0A96" w14:textId="77777777" w:rsidR="008D7550" w:rsidRPr="008D7550" w:rsidRDefault="008D7550" w:rsidP="008D7550">
      <w:pPr>
        <w:numPr>
          <w:ilvl w:val="1"/>
          <w:numId w:val="1"/>
        </w:numPr>
        <w:tabs>
          <w:tab w:val="num" w:pos="1440"/>
        </w:tabs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i/>
          <w:iCs/>
        </w:rPr>
        <w:t>Vício da Impugnação:</w:t>
      </w:r>
      <w:r w:rsidRPr="008D7550">
        <w:rPr>
          <w:rFonts w:ascii="Calibri" w:hAnsi="Calibri" w:cs="Calibri"/>
        </w:rPr>
        <w:t xml:space="preserve"> O objeto da licitação é </w:t>
      </w:r>
      <w:r w:rsidRPr="008D7550">
        <w:rPr>
          <w:rFonts w:ascii="Calibri" w:hAnsi="Calibri" w:cs="Calibri"/>
          <w:b/>
          <w:bCs/>
        </w:rPr>
        <w:t>pavimentação em zona rural</w:t>
      </w:r>
      <w:r w:rsidRPr="008D7550">
        <w:rPr>
          <w:rFonts w:ascii="Calibri" w:hAnsi="Calibri" w:cs="Calibri"/>
        </w:rPr>
        <w:t xml:space="preserve"> (Estradas Farinheira e Bandeirantes). A menção a "canteiros centrais de avenidas" e "calçadas" demonstra que a impugnante não analisou o objeto </w:t>
      </w:r>
      <w:r w:rsidRPr="008D7550">
        <w:rPr>
          <w:rFonts w:ascii="Calibri" w:hAnsi="Calibri" w:cs="Calibri"/>
        </w:rPr>
        <w:lastRenderedPageBreak/>
        <w:t>específico deste certame, incorrendo em erro material grosseiro ao exigir itens de urbanização em uma obra rodoviária rural.</w:t>
      </w:r>
    </w:p>
    <w:p w14:paraId="259EECD1" w14:textId="0A8906FB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356DFCED" w14:textId="578CF1F4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8D7550">
        <w:rPr>
          <w:rFonts w:ascii="Calibri" w:hAnsi="Calibri" w:cs="Calibri"/>
          <w:b/>
          <w:bCs/>
        </w:rPr>
        <w:t>2. Análise da Manifestação Técnica</w:t>
      </w:r>
    </w:p>
    <w:p w14:paraId="6DACAC9C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8FD2E7F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O Parecer Técnico emitido pela Engenharia em 16/12/2025 rebate os pontos com base nas especificações do projeto e nas normas do convênio:</w:t>
      </w:r>
    </w:p>
    <w:p w14:paraId="47B8E031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3EDA983" w14:textId="77777777" w:rsidR="008D7550" w:rsidRDefault="008D7550" w:rsidP="008D7550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Quanto à Mobilização (Acatamento):</w:t>
      </w:r>
      <w:r w:rsidRPr="008D7550">
        <w:rPr>
          <w:rFonts w:ascii="Calibri" w:hAnsi="Calibri" w:cs="Calibri"/>
        </w:rPr>
        <w:t xml:space="preserve"> A engenharia reconheceu a procedência do pedido para segregar a "Mobilização e Desmobilização" na planilha, visando maior transparência e controle. Isso demandará a alteração da planilha orçamentária e, consequentemente, a republicação do edital.</w:t>
      </w:r>
    </w:p>
    <w:p w14:paraId="604B9B19" w14:textId="77777777" w:rsidR="008D7550" w:rsidRPr="008D7550" w:rsidRDefault="008D7550" w:rsidP="008D7550">
      <w:pPr>
        <w:spacing w:after="0" w:line="276" w:lineRule="auto"/>
        <w:ind w:left="720"/>
        <w:jc w:val="both"/>
        <w:rPr>
          <w:rFonts w:ascii="Calibri" w:hAnsi="Calibri" w:cs="Calibri"/>
        </w:rPr>
      </w:pPr>
    </w:p>
    <w:p w14:paraId="6F8CC54D" w14:textId="77777777" w:rsidR="008D7550" w:rsidRDefault="008D7550" w:rsidP="008D7550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Quanto à Administração Local (Rejeição):</w:t>
      </w:r>
      <w:r w:rsidRPr="008D7550">
        <w:rPr>
          <w:rFonts w:ascii="Calibri" w:hAnsi="Calibri" w:cs="Calibri"/>
        </w:rPr>
        <w:t xml:space="preserve"> A engenharia refutou a necessidade de item específico para administração local, baseando-se na </w:t>
      </w:r>
      <w:r w:rsidRPr="008D7550">
        <w:rPr>
          <w:rFonts w:ascii="Calibri" w:hAnsi="Calibri" w:cs="Calibri"/>
          <w:b/>
          <w:bCs/>
        </w:rPr>
        <w:t>Nota Técnica SEAB 001/2025</w:t>
      </w:r>
      <w:r w:rsidRPr="008D7550">
        <w:rPr>
          <w:rFonts w:ascii="Calibri" w:hAnsi="Calibri" w:cs="Calibri"/>
        </w:rPr>
        <w:t>. A justificativa é técnica e robusta: em obras rurais sem engenheiro residente em tempo integral, tais custos compõem a Administração Central no BDI. Além disso, confirmou que o percentual citado pela ACNOR não existe na planilha original.</w:t>
      </w:r>
    </w:p>
    <w:p w14:paraId="7CF14818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67A1C74" w14:textId="77777777" w:rsidR="008D7550" w:rsidRDefault="008D7550" w:rsidP="008D7550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Quanto à Jazida (Rejeição Parcial/Esclarecimento):</w:t>
      </w:r>
      <w:r w:rsidRPr="008D7550">
        <w:rPr>
          <w:rFonts w:ascii="Calibri" w:hAnsi="Calibri" w:cs="Calibri"/>
        </w:rPr>
        <w:t xml:space="preserve"> Esclareceu que a jazida está definida, com volume suficiente e licenciamento em tramitação no IAT. Reforçou que a Administração garante a disponibilidade (insumo), mas a operação cabe à contratada, balizada pela DMT (Distância Média de Transporte).</w:t>
      </w:r>
    </w:p>
    <w:p w14:paraId="32279CA7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15A23CD3" w14:textId="77777777" w:rsidR="008D7550" w:rsidRDefault="008D7550" w:rsidP="008D7550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Quanto aos Resíduos e Erro de Referência (Rejeição):</w:t>
      </w:r>
      <w:r w:rsidRPr="008D7550">
        <w:rPr>
          <w:rFonts w:ascii="Calibri" w:hAnsi="Calibri" w:cs="Calibri"/>
        </w:rPr>
        <w:t xml:space="preserve"> A engenharia confirmou que o item citado pela ACNOR (7.5.3.4.3) </w:t>
      </w:r>
      <w:r w:rsidRPr="008D7550">
        <w:rPr>
          <w:rFonts w:ascii="Calibri" w:hAnsi="Calibri" w:cs="Calibri"/>
          <w:b/>
          <w:bCs/>
        </w:rPr>
        <w:t>não existe</w:t>
      </w:r>
      <w:r w:rsidRPr="008D7550">
        <w:rPr>
          <w:rFonts w:ascii="Calibri" w:hAnsi="Calibri" w:cs="Calibri"/>
        </w:rPr>
        <w:t xml:space="preserve"> no edital e o termo "bota-fora" não foi utilizado.</w:t>
      </w:r>
    </w:p>
    <w:p w14:paraId="4CE57997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C04245A" w14:textId="77777777" w:rsidR="008D7550" w:rsidRPr="008D7550" w:rsidRDefault="008D7550" w:rsidP="008D7550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Quanto a Calçadas e Canteiros (Rejeição por Inadequação):</w:t>
      </w:r>
      <w:r w:rsidRPr="008D7550">
        <w:rPr>
          <w:rFonts w:ascii="Calibri" w:hAnsi="Calibri" w:cs="Calibri"/>
        </w:rPr>
        <w:t xml:space="preserve"> O parecer foi categórico ao afirmar que a obra é </w:t>
      </w:r>
      <w:r w:rsidRPr="008D7550">
        <w:rPr>
          <w:rFonts w:ascii="Calibri" w:hAnsi="Calibri" w:cs="Calibri"/>
          <w:b/>
          <w:bCs/>
        </w:rPr>
        <w:t>exclusivamente rural</w:t>
      </w:r>
      <w:r w:rsidRPr="008D7550">
        <w:rPr>
          <w:rFonts w:ascii="Calibri" w:hAnsi="Calibri" w:cs="Calibri"/>
        </w:rPr>
        <w:t xml:space="preserve"> e não contempla urbanização (meios-fios urbanos, calçadas, canteiros). Este ponto expõe a fragilidade da impugnação da ACNOR.</w:t>
      </w:r>
    </w:p>
    <w:p w14:paraId="15F33EEE" w14:textId="4D73E82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FC1E6B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8D7550">
        <w:rPr>
          <w:rFonts w:ascii="Calibri" w:hAnsi="Calibri" w:cs="Calibri"/>
          <w:b/>
          <w:bCs/>
        </w:rPr>
        <w:t>3. Minuta de Resposta à Impugnação</w:t>
      </w:r>
    </w:p>
    <w:p w14:paraId="33A0B879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3CBC9B13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Abaixo, a minuta da decisão a ser assinada pela autoridade competente (Agente de Contratação/Prefeito), consolidando a análise jurídica e técnica.</w:t>
      </w:r>
    </w:p>
    <w:p w14:paraId="2A960244" w14:textId="37D1D84B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B94164B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DECISÃO ADMINISTRATIVA - IMPUGNAÇÃO AO EDITAL</w:t>
      </w:r>
    </w:p>
    <w:p w14:paraId="6CA6457C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5AC68740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Referência:</w:t>
      </w:r>
      <w:r w:rsidRPr="008D7550">
        <w:rPr>
          <w:rFonts w:ascii="Calibri" w:hAnsi="Calibri" w:cs="Calibri"/>
        </w:rPr>
        <w:t xml:space="preserve"> Concorrência Eletrônica nº 05/2025</w:t>
      </w:r>
    </w:p>
    <w:p w14:paraId="1F66F398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Processo Administrativo:</w:t>
      </w:r>
      <w:r w:rsidRPr="008D7550">
        <w:rPr>
          <w:rFonts w:ascii="Calibri" w:hAnsi="Calibri" w:cs="Calibri"/>
        </w:rPr>
        <w:t xml:space="preserve"> nº 75/2025</w:t>
      </w:r>
    </w:p>
    <w:p w14:paraId="560FE2DF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Impugnante:</w:t>
      </w:r>
      <w:r w:rsidRPr="008D7550">
        <w:rPr>
          <w:rFonts w:ascii="Calibri" w:hAnsi="Calibri" w:cs="Calibri"/>
        </w:rPr>
        <w:t xml:space="preserve"> ACNOR – ASSOCIAÇÃO DAS CONSTRUTORAS DE OBRAS PÚBLICAS DO NOROESTE DO PARANÁ</w:t>
      </w:r>
    </w:p>
    <w:p w14:paraId="4B27E5BB" w14:textId="32E6A9E1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Objeto:</w:t>
      </w:r>
      <w:r w:rsidRPr="008D7550">
        <w:rPr>
          <w:rFonts w:ascii="Calibri" w:hAnsi="Calibri" w:cs="Calibri"/>
        </w:rPr>
        <w:t xml:space="preserve"> Pavimentação com Blocos Sextavados (Estrada Farinheira e Bandeirantes – Zona Rural).</w:t>
      </w:r>
    </w:p>
    <w:p w14:paraId="437DA1D5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54A51066" w14:textId="3A7F5F73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8D7550">
        <w:rPr>
          <w:rFonts w:ascii="Calibri" w:hAnsi="Calibri" w:cs="Calibri"/>
          <w:b/>
          <w:bCs/>
        </w:rPr>
        <w:lastRenderedPageBreak/>
        <w:t>I. DO RELATÓRIO</w:t>
      </w:r>
    </w:p>
    <w:p w14:paraId="7CD4E77A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5B72EE3F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Trata-se de Impugnação ao Edital interposta tempestivamente pela </w:t>
      </w:r>
      <w:r w:rsidRPr="008D7550">
        <w:rPr>
          <w:rFonts w:ascii="Calibri" w:hAnsi="Calibri" w:cs="Calibri"/>
          <w:b/>
          <w:bCs/>
        </w:rPr>
        <w:t>ACNOR</w:t>
      </w:r>
      <w:r w:rsidRPr="008D7550">
        <w:rPr>
          <w:rFonts w:ascii="Calibri" w:hAnsi="Calibri" w:cs="Calibri"/>
        </w:rPr>
        <w:t>, questionando critérios técnicos e orçamentários do certame em epígrafe. Em síntese, a Impugnante alega:</w:t>
      </w:r>
    </w:p>
    <w:p w14:paraId="4044ECB3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632AD4E1" w14:textId="77777777" w:rsidR="008D7550" w:rsidRPr="008D7550" w:rsidRDefault="008D7550" w:rsidP="008D7550">
      <w:pPr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Necessidade de segregação dos custos de Mobilização/Desmobilização e inclusão de Administração Local na planilha;</w:t>
      </w:r>
    </w:p>
    <w:p w14:paraId="7D35AE73" w14:textId="77777777" w:rsidR="008D7550" w:rsidRPr="008D7550" w:rsidRDefault="008D7550" w:rsidP="008D7550">
      <w:pPr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Ausência de indicação precisa, licenciamento e ensaios da jazida de empréstimo;</w:t>
      </w:r>
    </w:p>
    <w:p w14:paraId="0F727581" w14:textId="77777777" w:rsidR="008D7550" w:rsidRPr="008D7550" w:rsidRDefault="008D7550" w:rsidP="008D7550">
      <w:pPr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Indefinição sobre locais de bota-fora e citação de item editalício sobre resíduos;</w:t>
      </w:r>
    </w:p>
    <w:p w14:paraId="351295EE" w14:textId="77777777" w:rsidR="008D7550" w:rsidRPr="008D7550" w:rsidRDefault="008D7550" w:rsidP="008D7550">
      <w:pPr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Omissão de custos de aterro para calçadas e canteiros centrais.</w:t>
      </w:r>
    </w:p>
    <w:p w14:paraId="49B52719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50E8A8D" w14:textId="2F39711D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O Setor de Engenharia emitiu Parecer Técnic</w:t>
      </w:r>
      <w:bookmarkStart w:id="0" w:name="_GoBack"/>
      <w:bookmarkEnd w:id="0"/>
      <w:r w:rsidRPr="008D7550">
        <w:rPr>
          <w:rFonts w:ascii="Calibri" w:hAnsi="Calibri" w:cs="Calibri"/>
        </w:rPr>
        <w:t>o em 16/12/2025, analisando os pontos levantados. Vieram os autos para decisão.</w:t>
      </w:r>
    </w:p>
    <w:p w14:paraId="1C6F2AAD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39E61AD1" w14:textId="45A9C173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II. DA FUNDAMENTAÇÃO</w:t>
      </w:r>
    </w:p>
    <w:p w14:paraId="723C1884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B9F845D" w14:textId="6FC4F6C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Conhece-se da impugnação, uma vez preenchidos os requisitos de admissibilidade previstos no art. 164 da Lei nº 14.133/2021. No mérito, passa-se à análise por tópicos:</w:t>
      </w:r>
    </w:p>
    <w:p w14:paraId="48A3E68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AE08365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8D7550">
        <w:rPr>
          <w:rFonts w:ascii="Calibri" w:hAnsi="Calibri" w:cs="Calibri"/>
          <w:b/>
          <w:bCs/>
          <w:i/>
          <w:iCs/>
        </w:rPr>
        <w:t>1. Da Mobilização, Desmobilização e Administração Local</w:t>
      </w:r>
    </w:p>
    <w:p w14:paraId="0099CE95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A2E6A2A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Assiste </w:t>
      </w:r>
      <w:r w:rsidRPr="008D7550">
        <w:rPr>
          <w:rFonts w:ascii="Calibri" w:hAnsi="Calibri" w:cs="Calibri"/>
          <w:b/>
          <w:bCs/>
        </w:rPr>
        <w:t>parcial razão</w:t>
      </w:r>
      <w:r w:rsidRPr="008D7550">
        <w:rPr>
          <w:rFonts w:ascii="Calibri" w:hAnsi="Calibri" w:cs="Calibri"/>
        </w:rPr>
        <w:t xml:space="preserve"> à Impugnante. Acolhendo o Parecer Técnico da Engenharia Municipal, reconhece-se que a segregação dos custos de </w:t>
      </w:r>
      <w:r w:rsidRPr="008D7550">
        <w:rPr>
          <w:rFonts w:ascii="Calibri" w:hAnsi="Calibri" w:cs="Calibri"/>
          <w:b/>
          <w:bCs/>
        </w:rPr>
        <w:t>Mobilização e Desmobilização</w:t>
      </w:r>
      <w:r w:rsidRPr="008D7550">
        <w:rPr>
          <w:rFonts w:ascii="Calibri" w:hAnsi="Calibri" w:cs="Calibri"/>
        </w:rPr>
        <w:t xml:space="preserve"> em item específico da planilha orçamentária privilegia o princípio da transparência e facilita a fiscalização e medição, alinhando-se às boas práticas e jurisprudência do TCU (Súmula 263).</w:t>
      </w:r>
    </w:p>
    <w:p w14:paraId="6344441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7093278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Contudo, quanto à </w:t>
      </w:r>
      <w:r w:rsidRPr="008D7550">
        <w:rPr>
          <w:rFonts w:ascii="Calibri" w:hAnsi="Calibri" w:cs="Calibri"/>
          <w:b/>
          <w:bCs/>
        </w:rPr>
        <w:t>Administração Local</w:t>
      </w:r>
      <w:r w:rsidRPr="008D7550">
        <w:rPr>
          <w:rFonts w:ascii="Calibri" w:hAnsi="Calibri" w:cs="Calibri"/>
        </w:rPr>
        <w:t>, indefere-se o pleito. Conforme fundamentado pela Engenharia, a obra trata-se de pavimentação em estrada rural, regida por convênio estadual (SEAB), onde a Nota Técnica SEAB 001/2025 estabelece que, ante a ausência de engenheiro residente em tempo integral, tais custos devem ser absorvidos pela Administração Central (BDI), não cabendo item direto na planilha.</w:t>
      </w:r>
    </w:p>
    <w:p w14:paraId="7BCDDD78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1A5C5B7" w14:textId="5860273B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Ademais, verificou-se que o percentual de 1,34% citado pela Impugnante não condiz com a realidade da planilha deste certame, denotando uso de fundamentação genérica.</w:t>
      </w:r>
    </w:p>
    <w:p w14:paraId="20B6CC3D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334518B8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8D7550">
        <w:rPr>
          <w:rFonts w:ascii="Calibri" w:hAnsi="Calibri" w:cs="Calibri"/>
          <w:b/>
          <w:bCs/>
          <w:i/>
          <w:iCs/>
        </w:rPr>
        <w:t>2. Da Jazida e Licenciamento</w:t>
      </w:r>
    </w:p>
    <w:p w14:paraId="23942DBC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6A5C9F9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Indefere-se o pleito. O setor técnico esclareceu que a jazida está definida, possui volume estimado compatível e seu licenciamento ambiental já tramita regularmente junto ao IAT. A Administração assegura a disponibilidade do insumo, cabendo à licitante a composição de custos baseada na Distância Média de Transporte (DMT) fixada em projeto</w:t>
      </w:r>
    </w:p>
    <w:p w14:paraId="77367913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F9EE6D5" w14:textId="51424AA5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 ausência momentânea de ensaios complementares não obsta a formulação das propostas, visto que os parâmetros técnicos de desempenho estão definidos no Memorial Descritivo.</w:t>
      </w:r>
    </w:p>
    <w:p w14:paraId="60DDE23E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3A62A6DE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8D7550">
        <w:rPr>
          <w:rFonts w:ascii="Calibri" w:hAnsi="Calibri" w:cs="Calibri"/>
          <w:b/>
          <w:bCs/>
          <w:i/>
          <w:iCs/>
        </w:rPr>
        <w:lastRenderedPageBreak/>
        <w:t>3. Dos Resíduos e Referência Inexistente no Edital</w:t>
      </w:r>
    </w:p>
    <w:p w14:paraId="59DFA49C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5B6FB1C7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Indefere-se. A Impugnante cita textualmente o "item 7.5.3.4.3 (a)" do Edital. Compulsando o instrumento convocatório, constata-se que </w:t>
      </w:r>
      <w:r w:rsidRPr="008D7550">
        <w:rPr>
          <w:rFonts w:ascii="Calibri" w:hAnsi="Calibri" w:cs="Calibri"/>
          <w:b/>
          <w:bCs/>
        </w:rPr>
        <w:t>tal item não existe</w:t>
      </w:r>
      <w:r w:rsidRPr="008D7550">
        <w:rPr>
          <w:rFonts w:ascii="Calibri" w:hAnsi="Calibri" w:cs="Calibri"/>
        </w:rPr>
        <w:t>, bem como não há menção ao termo "bota-fora". Trata-se de erro material da Impugnante, possivelmente decorrente do aproveitamento de peças jurídicas de outros certames.</w:t>
      </w:r>
    </w:p>
    <w:p w14:paraId="2275D11D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5E0A3BB0" w14:textId="670413BB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Reitera-se, contudo, a obrigação da Contratada em observar a Resolução CONAMA nº 307/2002 quanto à gestão de resíduos, conforme legislação vigente.</w:t>
      </w:r>
    </w:p>
    <w:p w14:paraId="75BCE13E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A183324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  <w:i/>
          <w:iCs/>
        </w:rPr>
      </w:pPr>
      <w:r w:rsidRPr="008D7550">
        <w:rPr>
          <w:rFonts w:ascii="Calibri" w:hAnsi="Calibri" w:cs="Calibri"/>
          <w:b/>
          <w:bCs/>
          <w:i/>
          <w:iCs/>
        </w:rPr>
        <w:t>4. Das Calçadas e Canteiros</w:t>
      </w:r>
    </w:p>
    <w:p w14:paraId="4724A39D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66B8030A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Indefere-se. O objeto da licitação é a pavimentação de </w:t>
      </w:r>
      <w:r w:rsidRPr="008D7550">
        <w:rPr>
          <w:rFonts w:ascii="Calibri" w:hAnsi="Calibri" w:cs="Calibri"/>
          <w:b/>
          <w:bCs/>
        </w:rPr>
        <w:t>estradas rurais</w:t>
      </w:r>
      <w:r w:rsidRPr="008D7550">
        <w:rPr>
          <w:rFonts w:ascii="Calibri" w:hAnsi="Calibri" w:cs="Calibri"/>
        </w:rPr>
        <w:t>. Não há, no projeto básico, memorial ou planilha, a previsão de execução de "calçadas", "meios-fios urbanos" ou "canteiros centrais de avenidas", como alegado erroneamente pela Impugnante.</w:t>
      </w:r>
    </w:p>
    <w:p w14:paraId="5338EA35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9A0C5A0" w14:textId="3C5991BE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A exigência de aterros para itens que não compõem o escopo da obra é improcedente e revela falta de análise específica do projeto pela Associação.</w:t>
      </w:r>
    </w:p>
    <w:p w14:paraId="7BE10FFD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37CA5A2D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III. DA DECISÃO</w:t>
      </w:r>
    </w:p>
    <w:p w14:paraId="275BFB90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68F23C06" w14:textId="042F5852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Ante o exposto, com fundamento na análise técnica e jurídica, decido julgar </w:t>
      </w:r>
      <w:r w:rsidRPr="008D7550">
        <w:rPr>
          <w:rFonts w:ascii="Calibri" w:hAnsi="Calibri" w:cs="Calibri"/>
          <w:b/>
          <w:bCs/>
        </w:rPr>
        <w:t>PARCIALMENTE PROCEDENTE</w:t>
      </w:r>
      <w:r w:rsidRPr="008D7550">
        <w:rPr>
          <w:rFonts w:ascii="Calibri" w:hAnsi="Calibri" w:cs="Calibri"/>
        </w:rPr>
        <w:t xml:space="preserve"> a impugnação apresentada pela ACNOR, apenas para:</w:t>
      </w:r>
    </w:p>
    <w:p w14:paraId="21F21215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FF59D8E" w14:textId="77777777" w:rsidR="008D7550" w:rsidRPr="008D7550" w:rsidRDefault="008D7550" w:rsidP="008D7550">
      <w:pPr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 xml:space="preserve">Determinar a </w:t>
      </w:r>
      <w:r w:rsidRPr="008D7550">
        <w:rPr>
          <w:rFonts w:ascii="Calibri" w:hAnsi="Calibri" w:cs="Calibri"/>
          <w:b/>
          <w:bCs/>
        </w:rPr>
        <w:t>alteração da Planilha Orçamentária</w:t>
      </w:r>
      <w:r w:rsidRPr="008D7550">
        <w:rPr>
          <w:rFonts w:ascii="Calibri" w:hAnsi="Calibri" w:cs="Calibri"/>
        </w:rPr>
        <w:t xml:space="preserve"> para incluir item específico de "Mobilização e Desmobilização", retirando-o, se for o caso, de composições onde estivesse agrupado ou do BDI, mantendo o equilíbrio do valor global estimado ou justificando sua alteração.</w:t>
      </w:r>
    </w:p>
    <w:p w14:paraId="7CAA0F39" w14:textId="77777777" w:rsidR="008D7550" w:rsidRPr="008D7550" w:rsidRDefault="008D7550" w:rsidP="008D7550">
      <w:pPr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Manter inalterados os demais itens do Edital e seus anexos.</w:t>
      </w:r>
    </w:p>
    <w:p w14:paraId="195C9236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2316F838" w14:textId="5EAC76F6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  <w:b/>
          <w:bCs/>
        </w:rPr>
        <w:t>IV. DAS PROVIDÊNCIAS FINAIS</w:t>
      </w:r>
    </w:p>
    <w:p w14:paraId="3A3848DC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433D2F38" w14:textId="0F61E91A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Considerando que a alteração na planilha orçamentária impacta na formulação das propostas comerciais, em obediência ao art. 55, § 2º, inciso I da Lei nº 14.133/2021:</w:t>
      </w:r>
    </w:p>
    <w:p w14:paraId="44F0CB35" w14:textId="77777777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1D495DFF" w14:textId="77777777" w:rsidR="008D7550" w:rsidRPr="008D7550" w:rsidRDefault="008D7550" w:rsidP="008D7550">
      <w:pPr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Promova-se a correção da planilha no Sistema e no Portal da Transparência;</w:t>
      </w:r>
    </w:p>
    <w:p w14:paraId="22A7D3A2" w14:textId="09E964DB" w:rsidR="008D7550" w:rsidRPr="008D7550" w:rsidRDefault="008D7550" w:rsidP="008D7550">
      <w:pPr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Publique-se o</w:t>
      </w:r>
      <w:r>
        <w:rPr>
          <w:rFonts w:ascii="Calibri" w:hAnsi="Calibri" w:cs="Calibri"/>
        </w:rPr>
        <w:t xml:space="preserve"> ato administrativo necessário</w:t>
      </w:r>
      <w:r w:rsidRPr="008D7550">
        <w:rPr>
          <w:rFonts w:ascii="Calibri" w:hAnsi="Calibri" w:cs="Calibri"/>
        </w:rPr>
        <w:t>, reabrindo-se o prazo legal de publicidade, conforme art. 55 da Lei 14.133/21</w:t>
      </w:r>
      <w:r>
        <w:rPr>
          <w:rFonts w:ascii="Calibri" w:hAnsi="Calibri" w:cs="Calibri"/>
        </w:rPr>
        <w:t>,</w:t>
      </w:r>
      <w:r w:rsidRPr="008D7550">
        <w:rPr>
          <w:rFonts w:ascii="Calibri" w:hAnsi="Calibri" w:cs="Calibri"/>
        </w:rPr>
        <w:t xml:space="preserve"> a contar da nova divulgação;</w:t>
      </w:r>
    </w:p>
    <w:p w14:paraId="1B6EB915" w14:textId="77777777" w:rsidR="008D7550" w:rsidRPr="008D7550" w:rsidRDefault="008D7550" w:rsidP="008D7550">
      <w:pPr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8D7550">
        <w:rPr>
          <w:rFonts w:ascii="Calibri" w:hAnsi="Calibri" w:cs="Calibri"/>
        </w:rPr>
        <w:t>Divulgue-se esta decisão no PNCP e no site oficial do Município.</w:t>
      </w:r>
    </w:p>
    <w:p w14:paraId="72711D05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01BF1C32" w14:textId="63947A07" w:rsidR="008D7550" w:rsidRPr="008D7550" w:rsidRDefault="00CF7632" w:rsidP="008D7550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Lobato/PR, 23</w:t>
      </w:r>
      <w:r w:rsidR="008D7550" w:rsidRPr="008D7550">
        <w:rPr>
          <w:rFonts w:ascii="Calibri" w:hAnsi="Calibri" w:cs="Calibri"/>
        </w:rPr>
        <w:t xml:space="preserve"> de dezembro de 2025.</w:t>
      </w:r>
    </w:p>
    <w:p w14:paraId="1BA95B2B" w14:textId="7873486B" w:rsidR="008D7550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</w:p>
    <w:p w14:paraId="251DB4D9" w14:textId="77777777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007F58EB" w14:textId="730445AC" w:rsidR="008D7550" w:rsidRDefault="008D7550" w:rsidP="008D7550">
      <w:pPr>
        <w:spacing w:after="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FÁBIO CHICAROLI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8D7550">
        <w:rPr>
          <w:rFonts w:ascii="Calibri" w:hAnsi="Calibri" w:cs="Calibri"/>
          <w:b/>
          <w:bCs/>
        </w:rPr>
        <w:t>SIRLENE DE FÁTIMA DOMINGUES</w:t>
      </w:r>
    </w:p>
    <w:p w14:paraId="698D560E" w14:textId="73D4A059" w:rsidR="00893DBB" w:rsidRPr="008D7550" w:rsidRDefault="008D7550" w:rsidP="008D7550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Prefeito Municipal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8D7550">
        <w:rPr>
          <w:rFonts w:ascii="Calibri" w:hAnsi="Calibri" w:cs="Calibri"/>
        </w:rPr>
        <w:t>Agente de Contratação</w:t>
      </w:r>
    </w:p>
    <w:sectPr w:rsidR="00893DBB" w:rsidRPr="008D75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3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220C2"/>
    <w:multiLevelType w:val="multilevel"/>
    <w:tmpl w:val="EEDC3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075AC"/>
    <w:multiLevelType w:val="multilevel"/>
    <w:tmpl w:val="221AC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757EBD"/>
    <w:multiLevelType w:val="multilevel"/>
    <w:tmpl w:val="E890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783F3A"/>
    <w:multiLevelType w:val="multilevel"/>
    <w:tmpl w:val="ADE2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B10BE1"/>
    <w:multiLevelType w:val="multilevel"/>
    <w:tmpl w:val="F16A2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50"/>
    <w:rsid w:val="00004CC0"/>
    <w:rsid w:val="000D41BD"/>
    <w:rsid w:val="00791041"/>
    <w:rsid w:val="00893DBB"/>
    <w:rsid w:val="008D7550"/>
    <w:rsid w:val="00CF7632"/>
    <w:rsid w:val="00F4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72CF"/>
  <w15:chartTrackingRefBased/>
  <w15:docId w15:val="{CF8D7806-8E15-48B9-8E75-8876329A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D7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7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D75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D7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D75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D7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D7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D7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D7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D7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7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D7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D75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D755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D75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D755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D75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D75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D7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D7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D7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D7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D7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D755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D755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D755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D7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D755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D75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1441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gcr2808</dc:creator>
  <cp:keywords/>
  <dc:description/>
  <cp:lastModifiedBy>Windows 11 Pro</cp:lastModifiedBy>
  <cp:revision>2</cp:revision>
  <dcterms:created xsi:type="dcterms:W3CDTF">2025-12-22T11:48:00Z</dcterms:created>
  <dcterms:modified xsi:type="dcterms:W3CDTF">2025-12-23T14:44:00Z</dcterms:modified>
</cp:coreProperties>
</file>